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90" w:lineRule="exact"/>
        <w:ind w:right="0" w:rightChars="0"/>
        <w:jc w:val="center"/>
        <w:textAlignment w:val="auto"/>
        <w:outlineLvl w:val="9"/>
        <w:rPr>
          <w:rFonts w:hint="eastAsia" w:ascii="黑体" w:hAnsi="黑体" w:eastAsia="黑体" w:cs="黑体"/>
          <w:b w:val="0"/>
          <w:bCs w:val="0"/>
          <w:color w:val="auto"/>
          <w:sz w:val="44"/>
          <w:szCs w:val="44"/>
        </w:rPr>
      </w:pPr>
      <w:r>
        <w:rPr>
          <w:rFonts w:hint="eastAsia" w:ascii="黑体" w:hAnsi="黑体" w:eastAsia="黑体" w:cs="黑体"/>
          <w:b w:val="0"/>
          <w:bCs w:val="0"/>
          <w:color w:val="auto"/>
          <w:sz w:val="44"/>
          <w:szCs w:val="44"/>
          <w:lang w:val="en-US" w:eastAsia="zh-CN"/>
        </w:rPr>
        <w:t xml:space="preserve">第五讲 </w:t>
      </w:r>
      <w:r>
        <w:rPr>
          <w:rFonts w:hint="eastAsia" w:ascii="黑体" w:hAnsi="黑体" w:eastAsia="黑体" w:cs="黑体"/>
          <w:b w:val="0"/>
          <w:bCs w:val="0"/>
          <w:color w:val="auto"/>
          <w:sz w:val="44"/>
          <w:szCs w:val="44"/>
        </w:rPr>
        <w:t>食管癌</w:t>
      </w:r>
    </w:p>
    <w:p>
      <w:pPr>
        <w:keepNext w:val="0"/>
        <w:keepLines w:val="0"/>
        <w:pageBreakBefore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福建省肿瘤医院    李建成</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1、</w:t>
      </w:r>
      <w:r>
        <w:rPr>
          <w:rFonts w:hint="eastAsia" w:ascii="仿宋_GB2312" w:hAnsi="仿宋_GB2312" w:eastAsia="仿宋_GB2312" w:cs="仿宋_GB2312"/>
          <w:b/>
          <w:bCs/>
          <w:color w:val="auto"/>
          <w:sz w:val="32"/>
          <w:szCs w:val="32"/>
        </w:rPr>
        <w:t>食管癌</w:t>
      </w:r>
      <w:r>
        <w:rPr>
          <w:rFonts w:hint="eastAsia" w:ascii="仿宋_GB2312" w:hAnsi="仿宋_GB2312" w:eastAsia="仿宋_GB2312" w:cs="仿宋_GB2312"/>
          <w:b/>
          <w:bCs/>
          <w:color w:val="auto"/>
          <w:sz w:val="32"/>
          <w:szCs w:val="32"/>
          <w:lang w:eastAsia="zh-CN"/>
        </w:rPr>
        <w:t>流行病学概况</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食管癌是世界上常见的肿瘤之一，具有显著的地域性分布和家族聚集性，我国是食管癌发病率和死亡率较高的国家之一。据2014年中国肿瘤登记显示，中国食管癌的发病率排在第五位，死亡率排在第四位，是预后很差的恶性肿瘤之一。我国食管癌仍然处于高发水平，特别是经济欠发达的农村是高发区，不同地区和人群食管癌发病率差别较大。中国高发病率地区与低发病率地区食管癌的死亡率相差500倍。全国各省市区之间食管癌死亡率的差别也较大。中老年人易患此病，通常男性高于女性。食管癌的发生需要经历漫长的过程，迄今为止还没有确定引起食管癌的病因，但国内外已经做了大量的有关食管癌病因的研究，认为是多因素（如环境因素和遗传因素）协同作用所致。目前认为相关因素有：亚硝胺摄入、真菌感染、营养不足、维生素摄入少、微量元素缺乏、饮酒、吸烟、肥胖或体重超重、HPV感染等。</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    2、食管癌的解剖结构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rightChars="0" w:firstLine="420"/>
        <w:jc w:val="both"/>
        <w:textAlignment w:val="auto"/>
        <w:outlineLvl w:val="9"/>
        <w:rPr>
          <w:rFonts w:hint="eastAsia" w:ascii="仿宋_GB2312" w:hAnsi="仿宋_GB2312" w:eastAsia="仿宋_GB2312" w:cs="仿宋_GB2312"/>
          <w:b w:val="0"/>
          <w:bCs w:val="0"/>
          <w:i w:val="0"/>
          <w:caps w:val="0"/>
          <w:color w:val="auto"/>
          <w:spacing w:val="0"/>
          <w:sz w:val="32"/>
          <w:szCs w:val="32"/>
        </w:rPr>
      </w:pP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食管是消化系统的一部分，它是空心的肌肉管道，将食物和液体从嘴巴移到胃中。上接咽部起于环状软骨，下端止于胃的贲门。食管壁有四层，从内向外依次为粘膜、粘膜下层、肌层和外膜。</w:t>
      </w:r>
      <w:r>
        <w:rPr>
          <w:rFonts w:hint="eastAsia" w:ascii="仿宋_GB2312" w:hAnsi="仿宋_GB2312" w:eastAsia="仿宋_GB2312" w:cs="仿宋_GB2312"/>
          <w:b w:val="0"/>
          <w:bCs w:val="0"/>
          <w:i w:val="0"/>
          <w:caps w:val="0"/>
          <w:color w:val="auto"/>
          <w:spacing w:val="0"/>
          <w:sz w:val="32"/>
          <w:szCs w:val="32"/>
        </w:rPr>
        <w:t>食管的解剖分段临床上多分为；</w:t>
      </w:r>
      <w:r>
        <w:rPr>
          <w:rStyle w:val="7"/>
          <w:rFonts w:hint="eastAsia" w:ascii="仿宋_GB2312" w:hAnsi="仿宋_GB2312" w:eastAsia="仿宋_GB2312" w:cs="仿宋_GB2312"/>
          <w:b w:val="0"/>
          <w:bCs w:val="0"/>
          <w:i w:val="0"/>
          <w:caps w:val="0"/>
          <w:color w:val="auto"/>
          <w:spacing w:val="0"/>
          <w:sz w:val="32"/>
          <w:szCs w:val="32"/>
        </w:rPr>
        <w:t>（1）颈段</w:t>
      </w:r>
      <w:r>
        <w:rPr>
          <w:rFonts w:hint="eastAsia" w:ascii="仿宋_GB2312" w:hAnsi="仿宋_GB2312" w:eastAsia="仿宋_GB2312" w:cs="仿宋_GB2312"/>
          <w:b w:val="0"/>
          <w:bCs w:val="0"/>
          <w:i w:val="0"/>
          <w:caps w:val="0"/>
          <w:color w:val="auto"/>
          <w:spacing w:val="0"/>
          <w:sz w:val="32"/>
          <w:szCs w:val="32"/>
        </w:rPr>
        <w:t>：自食管入口至胸骨柄上沿的胸廓入口处。</w:t>
      </w:r>
      <w:r>
        <w:rPr>
          <w:rStyle w:val="7"/>
          <w:rFonts w:hint="eastAsia" w:ascii="仿宋_GB2312" w:hAnsi="仿宋_GB2312" w:eastAsia="仿宋_GB2312" w:cs="仿宋_GB2312"/>
          <w:b w:val="0"/>
          <w:bCs w:val="0"/>
          <w:i w:val="0"/>
          <w:caps w:val="0"/>
          <w:color w:val="auto"/>
          <w:spacing w:val="0"/>
          <w:sz w:val="32"/>
          <w:szCs w:val="32"/>
        </w:rPr>
        <w:t>（2）胸上段</w:t>
      </w:r>
      <w:r>
        <w:rPr>
          <w:rFonts w:hint="eastAsia" w:ascii="仿宋_GB2312" w:hAnsi="仿宋_GB2312" w:eastAsia="仿宋_GB2312" w:cs="仿宋_GB2312"/>
          <w:b w:val="0"/>
          <w:bCs w:val="0"/>
          <w:i w:val="0"/>
          <w:caps w:val="0"/>
          <w:color w:val="auto"/>
          <w:spacing w:val="0"/>
          <w:sz w:val="32"/>
          <w:szCs w:val="32"/>
        </w:rPr>
        <w:t>：自胸廓上口至气管分叉平面。</w:t>
      </w:r>
      <w:r>
        <w:rPr>
          <w:rStyle w:val="7"/>
          <w:rFonts w:hint="eastAsia" w:ascii="仿宋_GB2312" w:hAnsi="仿宋_GB2312" w:eastAsia="仿宋_GB2312" w:cs="仿宋_GB2312"/>
          <w:b w:val="0"/>
          <w:bCs w:val="0"/>
          <w:i w:val="0"/>
          <w:caps w:val="0"/>
          <w:color w:val="auto"/>
          <w:spacing w:val="0"/>
          <w:sz w:val="32"/>
          <w:szCs w:val="32"/>
        </w:rPr>
        <w:t>（3）胸中段</w:t>
      </w:r>
      <w:r>
        <w:rPr>
          <w:rFonts w:hint="eastAsia" w:ascii="仿宋_GB2312" w:hAnsi="仿宋_GB2312" w:eastAsia="仿宋_GB2312" w:cs="仿宋_GB2312"/>
          <w:b w:val="0"/>
          <w:bCs w:val="0"/>
          <w:i w:val="0"/>
          <w:caps w:val="0"/>
          <w:color w:val="auto"/>
          <w:spacing w:val="0"/>
          <w:sz w:val="32"/>
          <w:szCs w:val="32"/>
        </w:rPr>
        <w:t>：自气管分叉平面至贲门口全长的上1／2。</w:t>
      </w:r>
      <w:r>
        <w:rPr>
          <w:rStyle w:val="7"/>
          <w:rFonts w:hint="eastAsia" w:ascii="仿宋_GB2312" w:hAnsi="仿宋_GB2312" w:eastAsia="仿宋_GB2312" w:cs="仿宋_GB2312"/>
          <w:b w:val="0"/>
          <w:bCs w:val="0"/>
          <w:i w:val="0"/>
          <w:caps w:val="0"/>
          <w:color w:val="auto"/>
          <w:spacing w:val="0"/>
          <w:sz w:val="32"/>
          <w:szCs w:val="32"/>
        </w:rPr>
        <w:t>（4）胸下段</w:t>
      </w:r>
      <w:r>
        <w:rPr>
          <w:rFonts w:hint="eastAsia" w:ascii="仿宋_GB2312" w:hAnsi="仿宋_GB2312" w:eastAsia="仿宋_GB2312" w:cs="仿宋_GB2312"/>
          <w:b w:val="0"/>
          <w:bCs w:val="0"/>
          <w:i w:val="0"/>
          <w:caps w:val="0"/>
          <w:color w:val="auto"/>
          <w:spacing w:val="0"/>
          <w:sz w:val="32"/>
          <w:szCs w:val="32"/>
        </w:rPr>
        <w:t>：自气管分叉平面至贲门口全长的下1／2，通常将食管腹段包括在胸下段内。胸中段与胸下段食管的交界处接近肺下静脉平面。胸中段</w:t>
      </w:r>
      <w:r>
        <w:rPr>
          <w:rFonts w:hint="eastAsia" w:ascii="仿宋_GB2312" w:hAnsi="仿宋_GB2312" w:eastAsia="仿宋_GB2312" w:cs="仿宋_GB2312"/>
          <w:b w:val="0"/>
          <w:bCs w:val="0"/>
          <w:i w:val="0"/>
          <w:caps w:val="0"/>
          <w:color w:val="auto"/>
          <w:spacing w:val="0"/>
          <w:sz w:val="32"/>
          <w:szCs w:val="32"/>
          <w:u w:val="none"/>
        </w:rPr>
        <w:fldChar w:fldCharType="begin"/>
      </w:r>
      <w:r>
        <w:rPr>
          <w:rFonts w:hint="eastAsia" w:ascii="仿宋_GB2312" w:hAnsi="仿宋_GB2312" w:eastAsia="仿宋_GB2312" w:cs="仿宋_GB2312"/>
          <w:b w:val="0"/>
          <w:bCs w:val="0"/>
          <w:i w:val="0"/>
          <w:caps w:val="0"/>
          <w:color w:val="auto"/>
          <w:spacing w:val="0"/>
          <w:sz w:val="32"/>
          <w:szCs w:val="32"/>
          <w:u w:val="none"/>
        </w:rPr>
        <w:instrText xml:space="preserve"> HYPERLINK "https://www.med66.com/jibing/shiguan/" \o "食管癌" \t "https://www.med66.com/new/22a324a2009/_blank" </w:instrText>
      </w:r>
      <w:r>
        <w:rPr>
          <w:rFonts w:hint="eastAsia" w:ascii="仿宋_GB2312" w:hAnsi="仿宋_GB2312" w:eastAsia="仿宋_GB2312" w:cs="仿宋_GB2312"/>
          <w:b w:val="0"/>
          <w:bCs w:val="0"/>
          <w:i w:val="0"/>
          <w:caps w:val="0"/>
          <w:color w:val="auto"/>
          <w:spacing w:val="0"/>
          <w:sz w:val="32"/>
          <w:szCs w:val="32"/>
          <w:u w:val="none"/>
        </w:rPr>
        <w:fldChar w:fldCharType="separate"/>
      </w:r>
      <w:r>
        <w:rPr>
          <w:rStyle w:val="8"/>
          <w:rFonts w:hint="eastAsia" w:ascii="仿宋_GB2312" w:hAnsi="仿宋_GB2312" w:eastAsia="仿宋_GB2312" w:cs="仿宋_GB2312"/>
          <w:b w:val="0"/>
          <w:bCs w:val="0"/>
          <w:i w:val="0"/>
          <w:caps w:val="0"/>
          <w:color w:val="auto"/>
          <w:spacing w:val="0"/>
          <w:sz w:val="32"/>
          <w:szCs w:val="32"/>
          <w:u w:val="none"/>
        </w:rPr>
        <w:t>食管癌</w:t>
      </w:r>
      <w:r>
        <w:rPr>
          <w:rFonts w:hint="eastAsia" w:ascii="仿宋_GB2312" w:hAnsi="仿宋_GB2312" w:eastAsia="仿宋_GB2312" w:cs="仿宋_GB2312"/>
          <w:b w:val="0"/>
          <w:bCs w:val="0"/>
          <w:i w:val="0"/>
          <w:caps w:val="0"/>
          <w:color w:val="auto"/>
          <w:spacing w:val="0"/>
          <w:sz w:val="32"/>
          <w:szCs w:val="32"/>
          <w:u w:val="none"/>
        </w:rPr>
        <w:fldChar w:fldCharType="end"/>
      </w:r>
      <w:r>
        <w:rPr>
          <w:rFonts w:hint="eastAsia" w:ascii="仿宋_GB2312" w:hAnsi="仿宋_GB2312" w:eastAsia="仿宋_GB2312" w:cs="仿宋_GB2312"/>
          <w:b w:val="0"/>
          <w:bCs w:val="0"/>
          <w:i w:val="0"/>
          <w:caps w:val="0"/>
          <w:color w:val="auto"/>
          <w:spacing w:val="0"/>
          <w:sz w:val="32"/>
          <w:szCs w:val="32"/>
        </w:rPr>
        <w:t>较多见，下段次之，上段较少。多系鳞癌。贲门部腺癌可向上延伸累及食管下段与食管下段癌不易区分。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right="0" w:rightChars="0"/>
        <w:jc w:val="both"/>
        <w:textAlignment w:val="auto"/>
        <w:outlineLvl w:val="9"/>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    3、食管癌的扩散与转移途径</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（1）直接浸润：</w:t>
      </w:r>
      <w:r>
        <w:rPr>
          <w:rFonts w:hint="eastAsia" w:ascii="仿宋_GB2312" w:hAnsi="仿宋_GB2312" w:eastAsia="仿宋_GB2312" w:cs="仿宋_GB2312"/>
          <w:color w:val="auto"/>
          <w:sz w:val="32"/>
          <w:szCs w:val="32"/>
        </w:rPr>
        <w:t>由于食管外膜为疏松结缔组织，与周围结缔组织连续，故随着病情进展，食管癌侵入外膜时可累及邻近器官，如侵犯喉、气管、支气管、胸主动脉、喉返神经等；</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（2）淋巴结转移：</w:t>
      </w:r>
      <w:r>
        <w:rPr>
          <w:rFonts w:hint="eastAsia" w:ascii="仿宋_GB2312" w:hAnsi="仿宋_GB2312" w:eastAsia="仿宋_GB2312" w:cs="仿宋_GB2312"/>
          <w:color w:val="auto"/>
          <w:sz w:val="32"/>
          <w:szCs w:val="32"/>
        </w:rPr>
        <w:t>由于食管的粘膜下层有广泛而密集的淋巴管网，纵横方向交错分布。纵行淋巴管是横行淋巴管的6倍，较早就有可能出现颈、腹部淋巴结转移，甚至多于胸内淋巴结转移。所以食管癌的淋巴结转移特点主要是区域性、跳跃性和上下双向性，不同病变部位转移特点也不一样。</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（3）血行转移：</w:t>
      </w:r>
      <w:r>
        <w:rPr>
          <w:rFonts w:hint="eastAsia" w:ascii="仿宋_GB2312" w:hAnsi="仿宋_GB2312" w:eastAsia="仿宋_GB2312" w:cs="仿宋_GB2312"/>
          <w:color w:val="auto"/>
          <w:sz w:val="32"/>
          <w:szCs w:val="32"/>
        </w:rPr>
        <w:t>为晚期表现，常见于肝、肺、骨等。</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 xml:space="preserve">    4、</w:t>
      </w:r>
      <w:r>
        <w:rPr>
          <w:rFonts w:hint="eastAsia" w:ascii="仿宋_GB2312" w:hAnsi="仿宋_GB2312" w:eastAsia="仿宋_GB2312" w:cs="仿宋_GB2312"/>
          <w:b/>
          <w:bCs/>
          <w:color w:val="auto"/>
          <w:sz w:val="32"/>
          <w:szCs w:val="32"/>
        </w:rPr>
        <w:t>食管癌常见临床表现</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（1）早期症状：以吞咽食物哽噎感为多见，另有胸骨后不适感或闷涨，咽喉部异物感及食物通过缓慢或有滞留感。</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（2）中晚期症状：进行性吞咽困难，只能进半流食或流食，可有后背部沉重压迫感或胸背部疼痛，常见伴随症状为呃逆、呕吐食物或粘液、声音嘶哑、颈部或锁骨上肿物及相应压迫症状。</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（3）食管癌患者出现食管穿孔、食管气管瘘、食管纵膈瘘时，常表现为心率加快、高热、胸闷、气短等症状，外周血象有中性粒细胞显著增高，大出血可能。</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5、</w:t>
      </w:r>
      <w:r>
        <w:rPr>
          <w:rFonts w:hint="eastAsia" w:ascii="仿宋_GB2312" w:hAnsi="仿宋_GB2312" w:eastAsia="仿宋_GB2312" w:cs="仿宋_GB2312"/>
          <w:b/>
          <w:bCs/>
          <w:color w:val="auto"/>
          <w:sz w:val="32"/>
          <w:szCs w:val="32"/>
          <w:lang w:eastAsia="zh-CN"/>
        </w:rPr>
        <w:t>确诊</w:t>
      </w:r>
      <w:r>
        <w:rPr>
          <w:rFonts w:hint="eastAsia" w:ascii="仿宋_GB2312" w:hAnsi="仿宋_GB2312" w:eastAsia="仿宋_GB2312" w:cs="仿宋_GB2312"/>
          <w:b/>
          <w:bCs/>
          <w:color w:val="auto"/>
          <w:sz w:val="32"/>
          <w:szCs w:val="32"/>
        </w:rPr>
        <w:t>食管癌应进行何种检查？</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（1）食管钡餐造影检查是诊断食管癌特别是中晚期食管癌既简单又实用且容易接受的一种常见检查方法，其在诊断粘膜破坏、确定病变长度、有无深在溃疡或穿孔可能等方面均有很好的优势。</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食管胸腹部CT扫描能在横截面上显示肿瘤的最大左右径和前后径，肿瘤与食管腔的关系以及肿瘤的最大浸润深度，与周围组织器官的关系，对判断手术完整切除有很好的指导价值。特别是三维重建技术可以清楚地显示病变段食管肿瘤与周围血管、气管的关系，肿瘤的体积大小，能显示瘤床区域内或外的淋巴结肿大及其与原发瘤的关系。</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（3）电子胃镜及食管超声内镜（EUS）是临床上广泛应用能取得病理诊断的确诊方法，EUS为术前准确判断病变侵犯深度及是否为阳性淋巴结提供依据，使临床分期更接近手术病理分期。</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（4）PET－CT对确定食管癌局部范围及全身转移均有很好的指导价值，对放射治疗靶区的确定也有较大的帮助，但费用较高。</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（5）常见的血液学检查包括血常规、电解质、血生化及上消化道肿瘤标志物等。</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t>6、</w:t>
      </w:r>
      <w:r>
        <w:rPr>
          <w:rFonts w:hint="eastAsia" w:ascii="仿宋_GB2312" w:hAnsi="仿宋_GB2312" w:eastAsia="仿宋_GB2312" w:cs="仿宋_GB2312"/>
          <w:b/>
          <w:bCs/>
          <w:color w:val="auto"/>
          <w:sz w:val="32"/>
          <w:szCs w:val="32"/>
        </w:rPr>
        <w:t>食管癌的病理诊断与分型有哪些？</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（1）早期食管癌临床病理的大体分型分别为隐伏型、糜烂性、斑块型、乳头型。中晚期大体临床分型分别为髓质型、蕈伞型、溃疡性、缩窄型及腔内型；</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（2）食管癌95%以上的病理分型为鳞状细胞癌或腺癌。在中国90%以上为鳞状细胞癌，其次为腺癌，偶见食管其他的恶性肿瘤如未分化癌、恶性黑色素瘤、平滑肌肉瘤、淋巴瘤和良性肿瘤。 </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7、</w:t>
      </w:r>
      <w:r>
        <w:rPr>
          <w:rFonts w:hint="eastAsia" w:ascii="仿宋_GB2312" w:hAnsi="仿宋_GB2312" w:eastAsia="仿宋_GB2312" w:cs="仿宋_GB2312"/>
          <w:b/>
          <w:bCs/>
          <w:color w:val="auto"/>
          <w:sz w:val="32"/>
          <w:szCs w:val="32"/>
        </w:rPr>
        <w:t>食管癌需与哪些疾病鉴别？</w:t>
      </w:r>
    </w:p>
    <w:p>
      <w:pPr>
        <w:keepNext w:val="0"/>
        <w:keepLines w:val="0"/>
        <w:pageBreakBefore w:val="0"/>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（1）食管外压性改变</w:t>
      </w:r>
      <w:r>
        <w:rPr>
          <w:rFonts w:hint="eastAsia" w:ascii="仿宋_GB2312" w:hAnsi="仿宋_GB2312" w:eastAsia="仿宋_GB2312" w:cs="仿宋_GB2312"/>
          <w:color w:val="auto"/>
          <w:sz w:val="32"/>
          <w:szCs w:val="32"/>
        </w:rPr>
        <w:t xml:space="preserve"> 外压的原因有先天性血管异常、主动脉瘤、胸内甲状腺、纵隔肿瘤、纵隔淋巴结肿大等。</w:t>
      </w:r>
    </w:p>
    <w:p>
      <w:pPr>
        <w:keepNext w:val="0"/>
        <w:keepLines w:val="0"/>
        <w:pageBreakBefore w:val="0"/>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食管贲门失迟缓症</w:t>
      </w:r>
      <w:r>
        <w:rPr>
          <w:rFonts w:hint="eastAsia" w:ascii="仿宋_GB2312" w:hAnsi="仿宋_GB2312" w:eastAsia="仿宋_GB2312" w:cs="仿宋_GB2312"/>
          <w:color w:val="auto"/>
          <w:sz w:val="32"/>
          <w:szCs w:val="32"/>
        </w:rPr>
        <w:t xml:space="preserve"> 鉴别要点是病情进展缓慢，有明显临床症状如呕吐食物等，X线钡餐造影呈“鸟嘴状”改变。</w:t>
      </w:r>
    </w:p>
    <w:p>
      <w:pPr>
        <w:keepNext w:val="0"/>
        <w:keepLines w:val="0"/>
        <w:pageBreakBefore w:val="0"/>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（3）反流性食管炎食管良性狭窄</w:t>
      </w:r>
      <w:r>
        <w:rPr>
          <w:rFonts w:hint="eastAsia" w:ascii="仿宋_GB2312" w:hAnsi="仿宋_GB2312" w:eastAsia="仿宋_GB2312" w:cs="仿宋_GB2312"/>
          <w:color w:val="auto"/>
          <w:sz w:val="32"/>
          <w:szCs w:val="32"/>
        </w:rPr>
        <w:t xml:space="preserve"> 食管贲门失迟缓症症状类似早期食管癌，鉴别的主要依据是食管镜病理检查。</w:t>
      </w:r>
    </w:p>
    <w:p>
      <w:pPr>
        <w:keepNext w:val="0"/>
        <w:keepLines w:val="0"/>
        <w:pageBreakBefore w:val="0"/>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（4）食管良性狭窄</w:t>
      </w:r>
      <w:r>
        <w:rPr>
          <w:rFonts w:hint="eastAsia" w:ascii="仿宋_GB2312" w:hAnsi="仿宋_GB2312" w:eastAsia="仿宋_GB2312" w:cs="仿宋_GB2312"/>
          <w:color w:val="auto"/>
          <w:sz w:val="32"/>
          <w:szCs w:val="32"/>
        </w:rPr>
        <w:t xml:space="preserve"> 多为化学灼伤后遗症，常有明确吞食化学物质的病史，X线检查有助于鉴别，食管镜可明确诊断。</w:t>
      </w:r>
    </w:p>
    <w:p>
      <w:pPr>
        <w:keepNext w:val="0"/>
        <w:keepLines w:val="0"/>
        <w:pageBreakBefore w:val="0"/>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（5）食管良性肿瘤</w:t>
      </w:r>
      <w:r>
        <w:rPr>
          <w:rFonts w:hint="eastAsia" w:ascii="仿宋_GB2312" w:hAnsi="仿宋_GB2312" w:eastAsia="仿宋_GB2312" w:cs="仿宋_GB2312"/>
          <w:color w:val="auto"/>
          <w:sz w:val="32"/>
          <w:szCs w:val="32"/>
        </w:rPr>
        <w:t xml:space="preserve"> 如食管平滑肌瘤比较常见，食管造影见粘膜光滑，管壁柔软，钡剂通过顺畅，病理及细胞学可鉴别。</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8、</w:t>
      </w:r>
      <w:r>
        <w:rPr>
          <w:rFonts w:hint="eastAsia" w:ascii="仿宋_GB2312" w:hAnsi="仿宋_GB2312" w:eastAsia="仿宋_GB2312" w:cs="仿宋_GB2312"/>
          <w:b/>
          <w:bCs/>
          <w:color w:val="auto"/>
          <w:sz w:val="32"/>
          <w:szCs w:val="32"/>
        </w:rPr>
        <w:t>食管癌的分期和意义有哪些？</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准确的分期对判断食管癌患者的预后、指导个体化治疗方案和促进肿瘤防治研究交流等方面起关键作用。</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食管癌分期采用AJCC (美国癌症联合委员会)分期系统。AJCC系统采用三个部份的主要信息来进行分期：</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T:肿瘤大小</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N:癌症侵及的淋巴结数目 (如果有)</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M:身体其他部位是否有癌症播散(转移)</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T=肿瘤</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Tis 意味着食管内有不正常的细胞。它们可以转变成癌症。</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T1a 意味着一团癌细胞（肿瘤）已经开始在食管内生长。肿瘤在食管壁上并没有生长得很远。</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T1b</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意味着肿瘤的生长已经通过食管壁的第一层且已经进入第二层。</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T2</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意味着肿瘤已经进入食管壁的第三层。</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意味着肿瘤已经到达食管壁的最外层。</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T4a</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意味着肿瘤已经通过食管一直生长到附近身体其他部份的内层。</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T4b</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意味着肿瘤已经通过食管一直生长到附近重要的身体部份。</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N=淋巴结</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NX</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意味着不清楚淋巴结是否有癌症。</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N0</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意味着周围淋巴结没有癌症。</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N1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意味着有1或2个淋巴结有癌症。</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N2</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意味着有3-6个淋巴结有癌症。</w:t>
      </w:r>
    </w:p>
    <w:p>
      <w:pPr>
        <w:keepNext w:val="0"/>
        <w:keepLines w:val="0"/>
        <w:pageBreakBefore w:val="0"/>
        <w:kinsoku/>
        <w:wordWrap/>
        <w:overflowPunct/>
        <w:topLinePunct w:val="0"/>
        <w:autoSpaceDE/>
        <w:autoSpaceDN/>
        <w:bidi w:val="0"/>
        <w:adjustRightInd/>
        <w:snapToGrid/>
        <w:spacing w:line="590" w:lineRule="exact"/>
        <w:ind w:right="0" w:rightChars="0" w:firstLine="641"/>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N3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意味着有7个或7个以上淋巴结有癌症。</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M=转移</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MX</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意味着不知道癌症是否已播散到食管外。</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M0</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意味着癌症尚未播散到食管外。</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M1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意味着癌症已经通过血流从食管播散到身体的其他区域。</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G=分级</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G1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意味着癌细胞看起来与健康细胞相似。</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G2</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意味着癌细胞和健康细胞有些不同。</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G3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意味着癌细胞看起来几乎不像健康细胞。</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rPr>
        <w:t>非手术治疗食管癌的临床分期：</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eastAsia="zh-CN"/>
        </w:rPr>
        <w:t>鳞癌</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0期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TisN0M0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I期：T1N0-1M0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II期：T2N0-1M0、T3N0M0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III期：T3N1M0、T1-3N2M0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IVA期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T4N0-2M0、任何TN3M0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IVB期：任何T任何NM1</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eastAsia="zh-CN"/>
        </w:rPr>
        <w:t>腺癌</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0期：TisN0M0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I期：T1N0M0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IIA期：T1N</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IIB期：T2N0M0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III期：T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N1M0、T</w:t>
      </w:r>
      <w:r>
        <w:rPr>
          <w:rFonts w:hint="eastAsia" w:ascii="仿宋_GB2312" w:hAnsi="仿宋_GB2312" w:eastAsia="仿宋_GB2312" w:cs="仿宋_GB2312"/>
          <w:color w:val="auto"/>
          <w:sz w:val="32"/>
          <w:szCs w:val="32"/>
          <w:lang w:val="en-US" w:eastAsia="zh-CN"/>
        </w:rPr>
        <w:t>3-4a</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lang w:val="en-US" w:eastAsia="zh-CN"/>
        </w:rPr>
        <w:t>0-1</w:t>
      </w:r>
      <w:r>
        <w:rPr>
          <w:rFonts w:hint="eastAsia" w:ascii="仿宋_GB2312" w:hAnsi="仿宋_GB2312" w:eastAsia="仿宋_GB2312" w:cs="仿宋_GB2312"/>
          <w:color w:val="auto"/>
          <w:sz w:val="32"/>
          <w:szCs w:val="32"/>
        </w:rPr>
        <w:t>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IVA期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T4</w:t>
      </w:r>
      <w:r>
        <w:rPr>
          <w:rFonts w:hint="eastAsia" w:ascii="仿宋_GB2312" w:hAnsi="仿宋_GB2312" w:eastAsia="仿宋_GB2312" w:cs="仿宋_GB2312"/>
          <w:color w:val="auto"/>
          <w:sz w:val="32"/>
          <w:szCs w:val="32"/>
          <w:lang w:val="en-US" w:eastAsia="zh-CN"/>
        </w:rPr>
        <w:t>b</w:t>
      </w:r>
      <w:r>
        <w:rPr>
          <w:rFonts w:hint="eastAsia" w:ascii="仿宋_GB2312" w:hAnsi="仿宋_GB2312" w:eastAsia="仿宋_GB2312" w:cs="仿宋_GB2312"/>
          <w:color w:val="auto"/>
          <w:sz w:val="32"/>
          <w:szCs w:val="32"/>
        </w:rPr>
        <w:t>N0-</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M0、任何TN</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3M0</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IVB期：任何T任何NM1</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9、</w:t>
      </w:r>
      <w:r>
        <w:rPr>
          <w:rFonts w:hint="eastAsia" w:ascii="仿宋_GB2312" w:hAnsi="仿宋_GB2312" w:eastAsia="仿宋_GB2312" w:cs="仿宋_GB2312"/>
          <w:b/>
          <w:bCs/>
          <w:color w:val="auto"/>
          <w:sz w:val="32"/>
          <w:szCs w:val="32"/>
        </w:rPr>
        <w:t>食管癌总体治疗原则</w:t>
      </w:r>
      <w:r>
        <w:rPr>
          <w:rFonts w:hint="eastAsia" w:ascii="仿宋_GB2312" w:hAnsi="仿宋_GB2312" w:eastAsia="仿宋_GB2312" w:cs="仿宋_GB2312"/>
          <w:b/>
          <w:bCs/>
          <w:color w:val="auto"/>
          <w:sz w:val="32"/>
          <w:szCs w:val="32"/>
        </w:rPr>
        <w:tab/>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1)</w:t>
      </w:r>
      <w:r>
        <w:rPr>
          <w:rFonts w:hint="eastAsia" w:ascii="仿宋_GB2312" w:hAnsi="仿宋_GB2312" w:eastAsia="仿宋_GB2312" w:cs="仿宋_GB2312"/>
          <w:color w:val="auto"/>
          <w:sz w:val="32"/>
          <w:szCs w:val="32"/>
        </w:rPr>
        <w:t>肿瘤治疗的目的是提高局部控制率、生存率和保留器官功能的结构，对于食管癌的治疗决策，肿瘤分期是主要考虑的因素，另外还需结合患者的身体因素和治疗意愿，有无严重的内科疾病、年龄大小等因素决定治疗策略。综合评估后可手术切除者首选根治性手术切除，因病变部位、病期偏晚等不适宜手术切除者可选择术前放化疗等，根据新辅助治疗效果，评估病人全身状况，制定下一步治疗方案，并且要依据术后病理选择术后的辅助治疗。临床分期较晚、没有根治机会者可以选择姑息性放化疗作为缓解症状、延长生存期的治疗手段。</w:t>
      </w:r>
    </w:p>
    <w:p>
      <w:pPr>
        <w:pStyle w:val="10"/>
        <w:keepNext w:val="0"/>
        <w:keepLines w:val="0"/>
        <w:pageBreakBefore w:val="0"/>
        <w:numPr>
          <w:ilvl w:val="-1"/>
          <w:numId w:val="0"/>
        </w:numPr>
        <w:tabs>
          <w:tab w:val="left" w:pos="741"/>
        </w:tabs>
        <w:kinsoku/>
        <w:wordWrap/>
        <w:overflowPunct/>
        <w:topLinePunct w:val="0"/>
        <w:autoSpaceDE/>
        <w:autoSpaceDN/>
        <w:bidi w:val="0"/>
        <w:adjustRightInd/>
        <w:snapToGrid/>
        <w:spacing w:line="590" w:lineRule="exact"/>
        <w:ind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2)</w:t>
      </w:r>
      <w:r>
        <w:rPr>
          <w:rFonts w:hint="eastAsia" w:ascii="仿宋_GB2312" w:hAnsi="仿宋_GB2312" w:eastAsia="仿宋_GB2312" w:cs="仿宋_GB2312"/>
          <w:color w:val="auto"/>
          <w:sz w:val="32"/>
          <w:szCs w:val="32"/>
        </w:rPr>
        <w:t>根据食管癌临床分期制定治疗模式</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（1）0期（TisN0M0）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首选内镜治疗，如果肿瘤生长范围过大，内窥镜治疗无效，则手术可能是最好的治疗选择。对于无法内镜下治疗的颈段食管癌由于外科手术切除困难、创伤大而推荐放疗或放化疗。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（2）I期（T1N0-1M0）：对于胸段食管癌首选手术治疗，如心肺功能差或不愿手术者，可行根治性放疗，完全切除的I期食管癌，术后不行辅助放疗或化疗。对于颈段食管癌由于手术切除困难、创伤大而推荐放化疗。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II期（T2N0-1M0、T3N0M0）：对于胸段食管癌首选手术治疗，如心肺功能差或不愿手术者，可行根治性放疗；完全切除的T2N0M0，术后不行辅助放疗或化疗；对于完全切除的T1-2N1M0和T3N0M0患者，可行术后辅助放疗可提高局部控制率，对提高5年生存率尚存在争议；对于食管鳞癌，不推荐单纯术后放疗，对淋巴结阳性者，术后放化疗科提高生存率；对于腺癌，可以选择术后辅助化疗。对于颈段食管癌由于手术切除困难、创伤大而推荐根治性放化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（4）III（T1-2N2M0、T3N1-2M0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:对于胸段食管癌可选择术前放化疗，与单一手术相比，术前同步放化疗，术前同步放化疗可能提高患者的生存率。对于颈段食管癌和不愿手术的胸段食管癌可行根治性放化疗。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IVA（T1-4bN3M0、T4N0-3M0）:可选择行根治性放化疗，对于侵犯气管、大血管或心脏的患者，考虑单纯化疗。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IVB（T</w:t>
      </w:r>
      <w:r>
        <w:rPr>
          <w:rFonts w:hint="eastAsia" w:ascii="仿宋_GB2312" w:hAnsi="仿宋_GB2312" w:eastAsia="仿宋_GB2312" w:cs="仿宋_GB2312"/>
          <w:color w:val="auto"/>
          <w:sz w:val="32"/>
          <w:szCs w:val="32"/>
          <w:vertAlign w:val="subscript"/>
        </w:rPr>
        <w:t>X</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X</w:t>
      </w:r>
      <w:r>
        <w:rPr>
          <w:rFonts w:hint="eastAsia" w:ascii="仿宋_GB2312" w:hAnsi="仿宋_GB2312" w:eastAsia="仿宋_GB2312" w:cs="仿宋_GB2312"/>
          <w:color w:val="auto"/>
          <w:sz w:val="32"/>
          <w:szCs w:val="32"/>
        </w:rPr>
        <w:t>M1）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以姑息治疗为主，目的减轻症状及痛苦，提高生活质量，尽可能延长生命。</w:t>
      </w:r>
    </w:p>
    <w:p>
      <w:pPr>
        <w:keepNext w:val="0"/>
        <w:keepLines w:val="0"/>
        <w:pageBreakBefore w:val="0"/>
        <w:numPr>
          <w:ilvl w:val="0"/>
          <w:numId w:val="0"/>
        </w:numPr>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    10、食管癌的治疗方法</w:t>
      </w:r>
    </w:p>
    <w:p>
      <w:pPr>
        <w:keepNext w:val="0"/>
        <w:keepLines w:val="0"/>
        <w:pageBreakBefore w:val="0"/>
        <w:numPr>
          <w:ilvl w:val="0"/>
          <w:numId w:val="0"/>
        </w:numPr>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1）</w:t>
      </w:r>
      <w:r>
        <w:rPr>
          <w:rFonts w:hint="eastAsia" w:ascii="仿宋_GB2312" w:hAnsi="仿宋_GB2312" w:eastAsia="仿宋_GB2312" w:cs="仿宋_GB2312"/>
          <w:b/>
          <w:bCs/>
          <w:color w:val="auto"/>
          <w:sz w:val="32"/>
          <w:szCs w:val="32"/>
        </w:rPr>
        <w:t>内镜治疗：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内镜治疗用于切除非常小的食管肿瘤和可能致癌的异常组织区域。治疗早期食管癌的两种主要内镜治疗方法是切除和消融。这两种类型都使用内窥镜和一个或多个工具来切除或杀死癌细胞。</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内镜切除术</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（1）EMR（内镜下黏膜切除术）：</w:t>
      </w:r>
      <w:r>
        <w:rPr>
          <w:rFonts w:hint="eastAsia" w:ascii="仿宋_GB2312" w:hAnsi="仿宋_GB2312" w:eastAsia="仿宋_GB2312" w:cs="仿宋_GB2312"/>
          <w:color w:val="auto"/>
          <w:sz w:val="32"/>
          <w:szCs w:val="32"/>
        </w:rPr>
        <w:t>用一种称为圈套的套索状工具切除癌细胞。这种方法最适合于切除尚未到达食管壁深层的肿瘤。</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（2）ESD (内镜黏膜下剥离术）：</w:t>
      </w:r>
      <w:r>
        <w:rPr>
          <w:rFonts w:hint="eastAsia" w:ascii="仿宋_GB2312" w:hAnsi="仿宋_GB2312" w:eastAsia="仿宋_GB2312" w:cs="仿宋_GB2312"/>
          <w:color w:val="auto"/>
          <w:sz w:val="32"/>
          <w:szCs w:val="32"/>
        </w:rPr>
        <w:t>医生用刀切开肿瘤下的健康组织。这使得整个肿瘤可以一块切除，这有助于防止肿瘤复发。这种方法最适合切除长入食管壁较深的肿瘤。</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内镜消融术</w:t>
      </w:r>
      <w:r>
        <w:rPr>
          <w:rFonts w:hint="eastAsia" w:ascii="仿宋_GB2312" w:hAnsi="仿宋_GB2312" w:eastAsia="仿宋_GB2312" w:cs="仿宋_GB2312"/>
          <w:color w:val="auto"/>
          <w:sz w:val="32"/>
          <w:szCs w:val="32"/>
        </w:rPr>
        <w:t xml:space="preserve"> 使用热、冷或光激活药物破坏癌细胞。消融的三种主要类型是:</w:t>
      </w:r>
    </w:p>
    <w:p>
      <w:pPr>
        <w:keepNext w:val="0"/>
        <w:keepLines w:val="0"/>
        <w:pageBreakBefore w:val="0"/>
        <w:numPr>
          <w:ilvl w:val="0"/>
          <w:numId w:val="0"/>
        </w:numPr>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RFA (射频消融术）是利用通过内窥镜的电极产生的热量杀死癌细胞。这是最常见的消融类型。</w:t>
      </w:r>
    </w:p>
    <w:p>
      <w:pPr>
        <w:keepNext w:val="0"/>
        <w:keepLines w:val="0"/>
        <w:pageBreakBefore w:val="0"/>
        <w:numPr>
          <w:ilvl w:val="0"/>
          <w:numId w:val="0"/>
        </w:numPr>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冷冻消融是通过内窥镜喷洒液氮冷冻癌细胞来杀死它们。</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（3）PDT (光动力疗法）是使用在光照下被激活的药物杀死癌细胞。</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2）</w:t>
      </w:r>
      <w:r>
        <w:rPr>
          <w:rFonts w:hint="eastAsia" w:ascii="仿宋_GB2312" w:hAnsi="仿宋_GB2312" w:eastAsia="仿宋_GB2312" w:cs="仿宋_GB2312"/>
          <w:b/>
          <w:bCs/>
          <w:color w:val="auto"/>
          <w:sz w:val="32"/>
          <w:szCs w:val="32"/>
        </w:rPr>
        <w:t>手术治疗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食管癌手术治疗有较明确的适应症，如早期食管癌、没有明显的纵膈淋巴结转移、病人没有手术禁忌症、能耐受手术者。</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手术方法选择</w:t>
      </w:r>
    </w:p>
    <w:p>
      <w:pPr>
        <w:keepNext w:val="0"/>
        <w:keepLines w:val="0"/>
        <w:pageBreakBefore w:val="0"/>
        <w:numPr>
          <w:ilvl w:val="0"/>
          <w:numId w:val="1"/>
        </w:numPr>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开放性手术切除包括经裂孔食管切除术、右胸和腹部二切口食管切除术和三切口改良食管切除术。</w:t>
      </w:r>
    </w:p>
    <w:p>
      <w:pPr>
        <w:keepNext w:val="0"/>
        <w:keepLines w:val="0"/>
        <w:pageBreakBefore w:val="0"/>
        <w:numPr>
          <w:ilvl w:val="0"/>
          <w:numId w:val="1"/>
        </w:numPr>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微创食管切除术包括纯胸腔镜肿瘤切除术、经右胸手辅助胸腔镜手术、胸腔镜辅助小切口手术、胸腹腔镜联合手术等。</w:t>
      </w:r>
    </w:p>
    <w:p>
      <w:pPr>
        <w:keepNext w:val="0"/>
        <w:keepLines w:val="0"/>
        <w:pageBreakBefore w:val="0"/>
        <w:numPr>
          <w:ilvl w:val="0"/>
          <w:numId w:val="1"/>
        </w:numPr>
        <w:tabs>
          <w:tab w:val="left" w:pos="741"/>
        </w:tabs>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微创食管切除术和开放性食管切除术疗效比较在长期生存上无明显差别，但微创食管切除术可改善围术期肺部并发症的发生率和术后生活质量。   </w:t>
      </w:r>
    </w:p>
    <w:p>
      <w:pPr>
        <w:keepNext w:val="0"/>
        <w:keepLines w:val="0"/>
        <w:pageBreakBefore w:val="0"/>
        <w:numPr>
          <w:ilvl w:val="0"/>
          <w:numId w:val="0"/>
        </w:numPr>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3）</w:t>
      </w:r>
      <w:r>
        <w:rPr>
          <w:rFonts w:hint="eastAsia" w:ascii="仿宋_GB2312" w:hAnsi="仿宋_GB2312" w:eastAsia="仿宋_GB2312" w:cs="仿宋_GB2312"/>
          <w:b/>
          <w:bCs/>
          <w:color w:val="auto"/>
          <w:sz w:val="32"/>
          <w:szCs w:val="32"/>
        </w:rPr>
        <w:t>放射治疗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放射治疗（简称放疗）</w:t>
      </w:r>
      <w:r>
        <w:rPr>
          <w:rFonts w:hint="eastAsia" w:ascii="仿宋_GB2312" w:hAnsi="仿宋_GB2312" w:eastAsia="仿宋_GB2312" w:cs="仿宋_GB2312"/>
          <w:color w:val="auto"/>
          <w:sz w:val="32"/>
          <w:szCs w:val="32"/>
        </w:rPr>
        <w:t>是利用一种或多种电离辐射对恶性肿瘤进行的治疗，包括体外放疗和近距离放疗两大类。据统计，中国约有70%以上的癌症需用放射治疗，美国统计也有50%以上的癌症需用放射治疗。恶性肿瘤的放疗原则与其他治疗手段一样，要最大限度地杀灭癌细胞，尽最大可能保护正常组织和重要器官，即尽量提高治疗效果，降低并发症。因此，适当的放疗机器、适宜的照射范围、足够的照射剂量、均匀的剂量分布、合理的照射体积、个别对待是放疗的基本要求。</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放疗在食管癌中的优势</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在目前医学技术条件下，食管癌有两个根治性手段，第一个是手术，第二个就是放疗或者放化疗。与外科相比，放疗（或放化疗）适应症广，对患者身体条件要求低，而且可以保留食管、胃等器官功能，不用麻醉等，放疗毒副作用相对较小，对早期、晚期患者都可以适用。因此对于不愿意接受手术或者不能够接受手术的患者，应该积极给予放疗或放化疗</w:t>
      </w:r>
      <w:r>
        <w:rPr>
          <w:rFonts w:hint="eastAsia" w:ascii="仿宋_GB2312" w:hAnsi="仿宋_GB2312" w:eastAsia="仿宋_GB2312" w:cs="仿宋_GB2312"/>
          <w:color w:val="auto"/>
          <w:sz w:val="32"/>
          <w:szCs w:val="32"/>
          <w:lang w:eastAsia="zh-CN"/>
        </w:rPr>
        <w:t>。</w:t>
      </w:r>
    </w:p>
    <w:p>
      <w:pPr>
        <w:keepNext w:val="0"/>
        <w:keepLines w:val="0"/>
        <w:pageBreakBefore w:val="0"/>
        <w:numPr>
          <w:ilvl w:val="-1"/>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3）食管癌放疗适应症是什么？</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放射治疗是目前食管癌主要的、有效的、安全的手段之一，适应症较宽如：颈段及胸上段食管癌的根治性放疗；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手术食管癌，但因内科疾病如心脏病、高血压等不能手术或不愿手术；局部晚期没有淋巴结转移，可先采取术前放疗，提高手术切除率；晚期食管癌，有淋巴结转移，行根治性放疗或同步放化疗；术后有残留或纵膈淋巴结转移可行术后放疗。</w:t>
      </w:r>
    </w:p>
    <w:p>
      <w:pPr>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bookmarkStart w:id="0" w:name="_GoBack"/>
      <w:r>
        <w:rPr>
          <w:rFonts w:hint="eastAsia" w:ascii="仿宋_GB2312" w:hAnsi="仿宋_GB2312" w:eastAsia="仿宋_GB2312" w:cs="仿宋_GB2312"/>
          <w:b/>
          <w:bCs/>
          <w:color w:val="auto"/>
          <w:sz w:val="32"/>
          <w:szCs w:val="32"/>
          <w:lang w:val="en-US" w:eastAsia="zh-CN"/>
        </w:rPr>
        <w:t>（4）食管癌放疗方法的分类</w:t>
      </w:r>
    </w:p>
    <w:bookmarkEnd w:id="0"/>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①根治性放疗或放化同步治疗</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目的：</w:t>
      </w:r>
      <w:r>
        <w:rPr>
          <w:rFonts w:hint="eastAsia" w:ascii="仿宋_GB2312" w:hAnsi="仿宋_GB2312" w:eastAsia="仿宋_GB2312" w:cs="仿宋_GB2312"/>
          <w:color w:val="auto"/>
          <w:sz w:val="32"/>
          <w:szCs w:val="32"/>
        </w:rPr>
        <w:t>希望局部肿瘤得到控制，获得较好的效果。放射治疗后不能因放射所致的并发症而影响生存质量。因此要求放疗部位精准，肿瘤内剂量分布均匀，正常组织受量少，照射技术重复性好。</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适应症：</w:t>
      </w:r>
      <w:r>
        <w:rPr>
          <w:rFonts w:hint="eastAsia" w:ascii="仿宋_GB2312" w:hAnsi="仿宋_GB2312" w:eastAsia="仿宋_GB2312" w:cs="仿宋_GB2312"/>
          <w:color w:val="auto"/>
          <w:sz w:val="32"/>
          <w:szCs w:val="32"/>
        </w:rPr>
        <w:t>一般情况好，病变比较短，食管病变处狭窄不明显（能进半流食），无明显向外侵犯（如无明显的胸背疼痛，食管造影或CT显示无明显的穿孔迹象）。无锁骨上和腹腔淋巴结转移，无严重的并发症。年龄大于70岁，不建议行同步放化疗。</w:t>
      </w:r>
    </w:p>
    <w:p>
      <w:pPr>
        <w:keepNext w:val="0"/>
        <w:keepLines w:val="0"/>
        <w:pageBreakBefore w:val="0"/>
        <w:kinsoku/>
        <w:wordWrap/>
        <w:overflowPunct/>
        <w:topLinePunct w:val="0"/>
        <w:autoSpaceDE/>
        <w:autoSpaceDN/>
        <w:bidi w:val="0"/>
        <w:adjustRightInd/>
        <w:snapToGrid/>
        <w:spacing w:line="590" w:lineRule="exact"/>
        <w:ind w:left="640"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②姑息放射治疗</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目的：</w:t>
      </w:r>
      <w:r>
        <w:rPr>
          <w:rFonts w:hint="eastAsia" w:ascii="仿宋_GB2312" w:hAnsi="仿宋_GB2312" w:eastAsia="仿宋_GB2312" w:cs="仿宋_GB2312"/>
          <w:color w:val="auto"/>
          <w:sz w:val="32"/>
          <w:szCs w:val="32"/>
        </w:rPr>
        <w:t>缓解进食困难、减轻痛苦（如骨转移可行镇痛放疗，转移淋巴结压迫症状等），延长寿命。</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相对禁忌症：</w:t>
      </w:r>
      <w:r>
        <w:rPr>
          <w:rFonts w:hint="eastAsia" w:ascii="仿宋_GB2312" w:hAnsi="仿宋_GB2312" w:eastAsia="仿宋_GB2312" w:cs="仿宋_GB2312"/>
          <w:color w:val="auto"/>
          <w:sz w:val="32"/>
          <w:szCs w:val="32"/>
        </w:rPr>
        <w:t>食管穿孔、恶病质KPS＜50分，已有明显症状且多个脏器转移者等。</w:t>
      </w:r>
    </w:p>
    <w:p>
      <w:pPr>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化学治疗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化学治疗（简称化疗）是用药物杀死癌细胞。它可以作为早期或晚期食管癌治疗的一部分。化疗和放疗通常一起用于治疗食管癌。这种联合治疗称为同步放化疗。</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大多数治疗食管癌的化疗药物都是缓慢注入静脉的液体。药物随着血液流动，到达身体的癌细胞进行治疗。治疗作用于全身，而被称为“全身性”治疗。很可能有两种或三种药物联合化疗。食管癌常见的化疗药物有卡培他滨、顺铂、卡铂、奥沙利铂、多西他赛、伊立替康、氟尿嘧啶、紫杉醇等。化疗周期通常在治疗日后有几日的休息日。这可以让你的身体在下一个周期之前恢复。例如，你可能接受每天化疗持续1周，然后休息3周，这4周构成一个周期。周期不同，取决于使用的药物。通常，一个周期是14、21或28天。</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副反应及注意事项：化疗后会出现恶心、呕吐、便秘、腹泻等胃肠道反应，出现白细胞、血小板、血红蛋白下降等血液系统反应，以及周围神经损害、脱发、肝肾功能损害等不良反应。医生会根据药物及个人的不同，根据具体情况给予对症和支持治疗。化疗期间应进食温热适中、易消化食物，少食多餐，同时增加食物花样，便秘者应多吃含膳食纤维多的食物，定期复查血常规、肝肾功能及电解质等。</w:t>
      </w:r>
    </w:p>
    <w:p>
      <w:pPr>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t>5）</w:t>
      </w:r>
      <w:r>
        <w:rPr>
          <w:rFonts w:hint="eastAsia" w:ascii="仿宋_GB2312" w:hAnsi="仿宋_GB2312" w:eastAsia="仿宋_GB2312" w:cs="仿宋_GB2312"/>
          <w:b/>
          <w:bCs/>
          <w:color w:val="auto"/>
          <w:sz w:val="32"/>
          <w:szCs w:val="32"/>
        </w:rPr>
        <w:t>靶向治疗</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身体里有许多非常小的粒子叫做分子。一些分子帮助癌症生长和扩散。靶向治疗是一种对准并阻止这些分子发挥作用的药物。并非所有食管癌患者都会接受靶向治疗。有两种靶向疗法用于治疗一些发病于胃和食道结合部位(EGJ [食管胃连接部])的晚期癌症。只有在其他治疗失败的情况下，才给予靶向治疗。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rPr>
        <w:t>（1）莫芦单抗：</w:t>
      </w:r>
      <w:r>
        <w:rPr>
          <w:rFonts w:hint="eastAsia" w:ascii="仿宋_GB2312" w:hAnsi="仿宋_GB2312" w:eastAsia="仿宋_GB2312" w:cs="仿宋_GB2312"/>
          <w:color w:val="auto"/>
          <w:sz w:val="32"/>
          <w:szCs w:val="32"/>
        </w:rPr>
        <w:t>肿瘤需要新的血管来生长。VEGF(血管内皮生长因子)是一种导致新血管形成的蛋白质。有些癌细胞表达VEGF受体。雷莫芦单抗关闭了VEGF受体以至于VEGF就不能附着，也就不能生成新的血管。它可以单独使用，也可以与一种叫做紫杉醇的化疗药物一起使用。</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rPr>
        <w:t>（2）曲妥珠单抗：</w:t>
      </w:r>
      <w:r>
        <w:rPr>
          <w:rFonts w:hint="eastAsia" w:ascii="仿宋_GB2312" w:hAnsi="仿宋_GB2312" w:eastAsia="仿宋_GB2312" w:cs="仿宋_GB2312"/>
          <w:color w:val="auto"/>
          <w:sz w:val="32"/>
          <w:szCs w:val="32"/>
        </w:rPr>
        <w:t>HER2(人类表皮生长因子受体2),HER2是一中细胞表面的蛋白质。一些食管腺癌含有过表达的HER2蛋白，导致肿瘤生长和扩散的速度比正常情况下更快。曲妥珠单抗有助于杀死含有过多HER2的癌细胞。如果检测显示腺癌细胞中HER2过表达,在化疗中添加曲妥珠单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t xml:space="preserve"> 6)</w:t>
      </w:r>
      <w:r>
        <w:rPr>
          <w:rFonts w:hint="eastAsia" w:ascii="仿宋_GB2312" w:hAnsi="仿宋_GB2312" w:eastAsia="仿宋_GB2312" w:cs="仿宋_GB2312"/>
          <w:b/>
          <w:bCs/>
          <w:color w:val="auto"/>
          <w:sz w:val="32"/>
          <w:szCs w:val="32"/>
        </w:rPr>
        <w:t>免疫治疗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免疫系统是身体对感染和疾病的天然防御。一种叫做免疫疗法的新型癌症疗法可以增强免疫系统的活性。通过这样做,它可以提高你的身体找到并摧毁癌症细胞的能力。</w:t>
      </w:r>
    </w:p>
    <w:p>
      <w:pPr>
        <w:keepNext w:val="0"/>
        <w:keepLines w:val="0"/>
        <w:pageBreakBefore w:val="0"/>
        <w:kinsoku/>
        <w:wordWrap/>
        <w:overflowPunct/>
        <w:topLinePunct w:val="0"/>
        <w:autoSpaceDE/>
        <w:autoSpaceDN/>
        <w:bidi w:val="0"/>
        <w:adjustRightInd/>
        <w:snapToGrid/>
        <w:spacing w:line="590" w:lineRule="exact"/>
        <w:ind w:right="0" w:rightChars="0" w:firstLine="56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免疫系统有重要的白细胞，称为T细胞。T细胞的主要功能是攻击体内的有害物质，如细菌、病毒和癌症。它们在表面一种叫做PD-1的蛋白质的帮助下做到了这一点。癌细胞表面有一种不同的蛋白质，称为PD-L1。PD-1与PD-L1相遇时称为免疫检查点。T细胞被“告知”不要攻击癌细胞。一种叫做免疫检查点抑制剂的药物可以阻止这两种蛋白质相遇。这意味着T细胞会完成它们的工作，攻击癌细胞。Pembrolizumab是免疫检查点抑制剂的一个例子。如果肿瘤对某些肿瘤标记物检测呈阳性，可以使用免疫治疗。</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 xml:space="preserve">    11、</w:t>
      </w:r>
      <w:r>
        <w:rPr>
          <w:rFonts w:hint="eastAsia" w:ascii="仿宋_GB2312" w:hAnsi="仿宋_GB2312" w:eastAsia="仿宋_GB2312" w:cs="仿宋_GB2312"/>
          <w:b/>
          <w:bCs/>
          <w:color w:val="auto"/>
          <w:sz w:val="32"/>
          <w:szCs w:val="32"/>
        </w:rPr>
        <w:t>如何进行食管癌</w:t>
      </w:r>
      <w:r>
        <w:rPr>
          <w:rFonts w:hint="eastAsia" w:ascii="仿宋_GB2312" w:hAnsi="仿宋_GB2312" w:eastAsia="仿宋_GB2312" w:cs="仿宋_GB2312"/>
          <w:b/>
          <w:bCs/>
          <w:color w:val="auto"/>
          <w:sz w:val="32"/>
          <w:szCs w:val="32"/>
          <w:lang w:eastAsia="zh-CN"/>
        </w:rPr>
        <w:t>放射</w:t>
      </w:r>
      <w:r>
        <w:rPr>
          <w:rFonts w:hint="eastAsia" w:ascii="仿宋_GB2312" w:hAnsi="仿宋_GB2312" w:eastAsia="仿宋_GB2312" w:cs="仿宋_GB2312"/>
          <w:b/>
          <w:bCs/>
          <w:color w:val="auto"/>
          <w:sz w:val="32"/>
          <w:szCs w:val="32"/>
        </w:rPr>
        <w:t>治疗后的随访？</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
          <w:bCs/>
          <w:color w:val="auto"/>
          <w:sz w:val="32"/>
          <w:szCs w:val="32"/>
        </w:rPr>
        <w:t>1、随访概述：</w:t>
      </w:r>
      <w:r>
        <w:rPr>
          <w:rFonts w:hint="eastAsia" w:ascii="仿宋_GB2312" w:hAnsi="仿宋_GB2312" w:eastAsia="仿宋_GB2312" w:cs="仿宋_GB2312"/>
          <w:color w:val="auto"/>
          <w:sz w:val="32"/>
          <w:szCs w:val="32"/>
        </w:rPr>
        <w:t>所有确诊食管癌的患者治疗后均应终身规律随访，以便了解病情变化、治疗的副反应、康复情况和营养状态。随访过程中，不仅有利于对有症状患者及时确诊和治疗，而且有利于发现无症状患者或有慢性轻微症状的患者病情的变化，以便及时诊断和治疗。</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2、不同阶段食管癌患者随访时间：</w:t>
      </w:r>
      <w:r>
        <w:rPr>
          <w:rFonts w:hint="eastAsia" w:ascii="仿宋_GB2312" w:hAnsi="仿宋_GB2312" w:eastAsia="仿宋_GB2312" w:cs="仿宋_GB2312"/>
          <w:color w:val="auto"/>
          <w:sz w:val="32"/>
          <w:szCs w:val="32"/>
        </w:rPr>
        <w:t>完整的病史和体格检查应在随访开始的第1-2年每3-6个月一次，3-5年每6个月一次，5年后每年一次，或者每年常规体检。</w:t>
      </w:r>
    </w:p>
    <w:p>
      <w:pPr>
        <w:keepNext w:val="0"/>
        <w:keepLines w:val="0"/>
        <w:pageBreakBefore w:val="0"/>
        <w:tabs>
          <w:tab w:val="left" w:pos="741"/>
        </w:tabs>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3、食管癌患者随访的具体内容:</w:t>
      </w:r>
      <w:r>
        <w:rPr>
          <w:rFonts w:hint="eastAsia" w:ascii="仿宋_GB2312" w:hAnsi="仿宋_GB2312" w:eastAsia="仿宋_GB2312" w:cs="仿宋_GB2312"/>
          <w:color w:val="auto"/>
          <w:sz w:val="32"/>
          <w:szCs w:val="32"/>
        </w:rPr>
        <w:t>包括询问病史，关注临床表现；进行体格检查，重点是颈部浅表淋巴结的触诊、腹部触诊、胸部听诊等；实验室检查包括血常规、大便常规+隐血、肝肾功能、电解质及肿瘤标志物等；影像学检查包括食管X线造影、腹部B超检查、食管CT、骨ECT等；对于食管癌根治术后及放化疗后取得完全缓解的患者建议每年进行一次内镜检查；对所有食管癌患者治疗后均应行营养状态评估及检测。</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附测试题</w:t>
      </w:r>
      <w:r>
        <w:rPr>
          <w:rFonts w:hint="eastAsia" w:ascii="仿宋_GB2312" w:hAnsi="仿宋_GB2312" w:eastAsia="仿宋_GB2312" w:cs="仿宋_GB2312"/>
          <w:b/>
          <w:bCs/>
          <w:color w:val="auto"/>
          <w:sz w:val="32"/>
          <w:szCs w:val="32"/>
          <w:lang w:val="en-US" w:eastAsia="zh-CN"/>
        </w:rPr>
        <w:t xml:space="preserve">  </w:t>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食管癌的病理主要为（</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.鳞癌</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.腺癌</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.小细胞癌</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.大细胞癌</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.类癌</w:t>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下列哪项不是我国食管癌病理分级标准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.淋巴结转移</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病变范围</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.远处</w:t>
      </w:r>
      <w:r>
        <w:rPr>
          <w:rFonts w:hint="eastAsia" w:ascii="仿宋_GB2312" w:hAnsi="仿宋_GB2312" w:eastAsia="仿宋_GB2312" w:cs="仿宋_GB2312"/>
          <w:color w:val="auto"/>
          <w:sz w:val="32"/>
          <w:szCs w:val="32"/>
        </w:rPr>
        <w:t>转移</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消瘦和贫血程度</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病理形态和病理切片</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下列哪项不是早期食管癌的临床表现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食管内异物感</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食物停滞感</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进行性吞咽困难</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进食时胸骨后不适或疼痛</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进食时胸骨后烧灼感</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下列哪项不是晚期食管癌的临床表现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声音嘶哑</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进食时呛咳</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胸骨后烧灼感</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持续性胸背痛</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进行性吞咽困难</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食管壁分几层？（</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下列哪项不是食管癌切除、食管胃重建的常用手术方法？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结肠代食管术</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空肠代食管术</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食管胃转流吻合术</w:t>
      </w:r>
      <w:r>
        <w:rPr>
          <w:rFonts w:hint="eastAsia" w:ascii="仿宋_GB2312" w:hAnsi="仿宋_GB2312" w:eastAsia="仿宋_GB2312" w:cs="仿宋_GB2312"/>
          <w:color w:val="auto"/>
          <w:sz w:val="32"/>
          <w:szCs w:val="32"/>
        </w:rPr>
        <w:tab/>
      </w:r>
    </w:p>
    <w:p>
      <w:pPr>
        <w:pStyle w:val="2"/>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主动脉弓上食管胃吻合术</w:t>
      </w:r>
      <w:r>
        <w:rPr>
          <w:rFonts w:hint="eastAsia" w:ascii="仿宋_GB2312" w:hAnsi="仿宋_GB2312" w:eastAsia="仿宋_GB2312" w:cs="仿宋_GB2312"/>
          <w:color w:val="auto"/>
          <w:sz w:val="32"/>
          <w:szCs w:val="32"/>
        </w:rPr>
        <w:tab/>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主动脉弓下食管胃吻合术</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2"/>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食管癌多发生在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A.</w:t>
      </w:r>
      <w:r>
        <w:rPr>
          <w:rFonts w:hint="eastAsia" w:ascii="仿宋_GB2312" w:hAnsi="仿宋_GB2312" w:eastAsia="仿宋_GB2312" w:cs="仿宋_GB2312"/>
          <w:color w:val="auto"/>
          <w:sz w:val="32"/>
          <w:szCs w:val="32"/>
        </w:rPr>
        <w:t xml:space="preserve">食管上段 </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B.</w:t>
      </w:r>
      <w:r>
        <w:rPr>
          <w:rFonts w:hint="eastAsia" w:ascii="仿宋_GB2312" w:hAnsi="仿宋_GB2312" w:eastAsia="仿宋_GB2312" w:cs="仿宋_GB2312"/>
          <w:color w:val="auto"/>
          <w:sz w:val="32"/>
          <w:szCs w:val="32"/>
        </w:rPr>
        <w:t xml:space="preserve">食管下段 </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C.</w:t>
      </w:r>
      <w:r>
        <w:rPr>
          <w:rFonts w:hint="eastAsia" w:ascii="仿宋_GB2312" w:hAnsi="仿宋_GB2312" w:eastAsia="仿宋_GB2312" w:cs="仿宋_GB2312"/>
          <w:color w:val="auto"/>
          <w:sz w:val="32"/>
          <w:szCs w:val="32"/>
        </w:rPr>
        <w:t xml:space="preserve">食管中段 </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D.</w:t>
      </w:r>
      <w:r>
        <w:rPr>
          <w:rFonts w:hint="eastAsia" w:ascii="仿宋_GB2312" w:hAnsi="仿宋_GB2312" w:eastAsia="仿宋_GB2312" w:cs="仿宋_GB2312"/>
          <w:color w:val="auto"/>
          <w:sz w:val="32"/>
          <w:szCs w:val="32"/>
        </w:rPr>
        <w:t xml:space="preserve">食管肌肉 </w:t>
      </w:r>
      <w:r>
        <w:rPr>
          <w:rFonts w:hint="eastAsia" w:ascii="仿宋_GB2312" w:hAnsi="仿宋_GB2312" w:eastAsia="仿宋_GB2312" w:cs="仿宋_GB2312"/>
          <w:color w:val="auto"/>
          <w:sz w:val="32"/>
          <w:szCs w:val="32"/>
        </w:rPr>
        <w:tab/>
      </w:r>
    </w:p>
    <w:p>
      <w:pPr>
        <w:pStyle w:val="2"/>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E.</w:t>
      </w:r>
      <w:r>
        <w:rPr>
          <w:rFonts w:hint="eastAsia" w:ascii="仿宋_GB2312" w:hAnsi="仿宋_GB2312" w:eastAsia="仿宋_GB2312" w:cs="仿宋_GB2312"/>
          <w:color w:val="auto"/>
          <w:sz w:val="32"/>
          <w:szCs w:val="32"/>
        </w:rPr>
        <w:t>食管软骨</w:t>
      </w:r>
      <w:r>
        <w:rPr>
          <w:rFonts w:hint="eastAsia" w:ascii="仿宋_GB2312" w:hAnsi="仿宋_GB2312" w:eastAsia="仿宋_GB2312" w:cs="仿宋_GB2312"/>
          <w:color w:val="auto"/>
          <w:sz w:val="32"/>
          <w:szCs w:val="32"/>
        </w:rPr>
        <w:tab/>
      </w:r>
    </w:p>
    <w:p>
      <w:pPr>
        <w:pStyle w:val="2"/>
        <w:keepNext w:val="0"/>
        <w:keepLines w:val="0"/>
        <w:pageBreakBefore w:val="0"/>
        <w:numPr>
          <w:ilvl w:val="1"/>
          <w:numId w:val="3"/>
        </w:numPr>
        <w:tabs>
          <w:tab w:val="left" w:pos="360"/>
          <w:tab w:val="clear" w:pos="1280"/>
        </w:tabs>
        <w:kinsoku/>
        <w:wordWrap/>
        <w:overflowPunct/>
        <w:topLinePunct w:val="0"/>
        <w:autoSpaceDE/>
        <w:autoSpaceDN/>
        <w:bidi w:val="0"/>
        <w:adjustRightInd/>
        <w:snapToGrid/>
        <w:spacing w:line="590" w:lineRule="exact"/>
        <w:ind w:right="0" w:rightChars="0" w:hanging="1280"/>
        <w:jc w:val="both"/>
        <w:textAlignment w:val="auto"/>
        <w:outlineLvl w:val="9"/>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rPr>
        <w:t>食管癌</w:t>
      </w:r>
      <w:r>
        <w:rPr>
          <w:rFonts w:hint="eastAsia" w:ascii="仿宋_GB2312" w:hAnsi="仿宋_GB2312" w:eastAsia="仿宋_GB2312" w:cs="仿宋_GB2312"/>
          <w:color w:val="auto"/>
          <w:sz w:val="32"/>
          <w:szCs w:val="32"/>
          <w:lang w:eastAsia="zh-CN"/>
        </w:rPr>
        <w:t>需要与什么病鉴别（</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.食管良性肿瘤</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反流性食管炎 </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食管良性狭窄</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食管贲门失迟缓症</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.以上所有</w:t>
      </w:r>
      <w:r>
        <w:rPr>
          <w:rFonts w:hint="eastAsia" w:ascii="仿宋_GB2312" w:hAnsi="仿宋_GB2312" w:eastAsia="仿宋_GB2312" w:cs="仿宋_GB2312"/>
          <w:color w:val="auto"/>
          <w:sz w:val="32"/>
          <w:szCs w:val="32"/>
        </w:rPr>
        <w:tab/>
      </w:r>
    </w:p>
    <w:p>
      <w:pPr>
        <w:pStyle w:val="2"/>
        <w:keepNext w:val="0"/>
        <w:keepLines w:val="0"/>
        <w:pageBreakBefore w:val="0"/>
        <w:numPr>
          <w:ilvl w:val="1"/>
          <w:numId w:val="3"/>
        </w:numPr>
        <w:tabs>
          <w:tab w:val="clear" w:pos="1280"/>
        </w:tabs>
        <w:kinsoku/>
        <w:wordWrap/>
        <w:overflowPunct/>
        <w:topLinePunct w:val="0"/>
        <w:autoSpaceDE/>
        <w:autoSpaceDN/>
        <w:bidi w:val="0"/>
        <w:adjustRightInd/>
        <w:snapToGrid/>
        <w:spacing w:line="590" w:lineRule="exact"/>
        <w:ind w:left="360" w:right="0" w:rightChars="0" w:hanging="36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食管癌病人出现持续性胸背痛多表示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癌肿部位有炎症</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癌肿已侵犯食管外组织</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有远处血行转移</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有食管气管瘘</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癌肿较大</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食管癌放疗适应症（</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颈段食管癌</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局部肿瘤包绕血管</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lang w:eastAsia="zh-CN"/>
        </w:rPr>
        <w:t>.患者不愿手术</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hanging="84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lang w:eastAsia="zh-CN"/>
        </w:rPr>
        <w:t>.术后残留</w:t>
      </w:r>
      <w:r>
        <w:rPr>
          <w:rFonts w:hint="eastAsia" w:ascii="仿宋_GB2312" w:hAnsi="仿宋_GB2312" w:eastAsia="仿宋_GB2312" w:cs="仿宋_GB2312"/>
          <w:color w:val="auto"/>
          <w:sz w:val="32"/>
          <w:szCs w:val="32"/>
        </w:rPr>
        <w:tab/>
      </w:r>
    </w:p>
    <w:p>
      <w:pPr>
        <w:pStyle w:val="2"/>
        <w:keepNext w:val="0"/>
        <w:keepLines w:val="0"/>
        <w:pageBreakBefore w:val="0"/>
        <w:tabs>
          <w:tab w:val="left" w:pos="36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lang w:eastAsia="zh-CN"/>
        </w:rPr>
        <w:t>.以上所有</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60BED"/>
    <w:multiLevelType w:val="multilevel"/>
    <w:tmpl w:val="54160BED"/>
    <w:lvl w:ilvl="0" w:tentative="0">
      <w:start w:val="1"/>
      <w:numFmt w:val="upperLetter"/>
      <w:lvlText w:val="%1."/>
      <w:lvlJc w:val="left"/>
      <w:pPr>
        <w:tabs>
          <w:tab w:val="left" w:pos="860"/>
        </w:tabs>
        <w:ind w:left="860" w:hanging="420"/>
      </w:pPr>
    </w:lvl>
    <w:lvl w:ilvl="1" w:tentative="0">
      <w:start w:val="8"/>
      <w:numFmt w:val="decimal"/>
      <w:lvlText w:val="%2."/>
      <w:lvlJc w:val="left"/>
      <w:pPr>
        <w:tabs>
          <w:tab w:val="left" w:pos="1280"/>
        </w:tabs>
        <w:ind w:left="1280" w:hanging="420"/>
      </w:pPr>
      <w:rPr>
        <w:rFonts w:hint="eastAsia"/>
      </w:rPr>
    </w:lvl>
    <w:lvl w:ilvl="2" w:tentative="0">
      <w:start w:val="11"/>
      <w:numFmt w:val="decimal"/>
      <w:lvlText w:val="%3."/>
      <w:lvlJc w:val="left"/>
      <w:pPr>
        <w:tabs>
          <w:tab w:val="left" w:pos="1280"/>
        </w:tabs>
        <w:ind w:left="1280" w:hanging="420"/>
      </w:pPr>
      <w:rPr>
        <w:rFonts w:hint="eastAsia"/>
      </w:rPr>
    </w:lvl>
    <w:lvl w:ilvl="3" w:tentative="0">
      <w:start w:val="1"/>
      <w:numFmt w:val="decimal"/>
      <w:lvlText w:val="%4."/>
      <w:lvlJc w:val="left"/>
      <w:pPr>
        <w:tabs>
          <w:tab w:val="left" w:pos="2120"/>
        </w:tabs>
        <w:ind w:left="2120" w:hanging="420"/>
      </w:pPr>
    </w:lvl>
    <w:lvl w:ilvl="4" w:tentative="0">
      <w:start w:val="1"/>
      <w:numFmt w:val="lowerLetter"/>
      <w:lvlText w:val="%5)"/>
      <w:lvlJc w:val="left"/>
      <w:pPr>
        <w:tabs>
          <w:tab w:val="left" w:pos="2540"/>
        </w:tabs>
        <w:ind w:left="2540" w:hanging="420"/>
      </w:pPr>
    </w:lvl>
    <w:lvl w:ilvl="5" w:tentative="0">
      <w:start w:val="1"/>
      <w:numFmt w:val="lowerRoman"/>
      <w:lvlText w:val="%6."/>
      <w:lvlJc w:val="right"/>
      <w:pPr>
        <w:tabs>
          <w:tab w:val="left" w:pos="2960"/>
        </w:tabs>
        <w:ind w:left="2960" w:hanging="420"/>
      </w:pPr>
    </w:lvl>
    <w:lvl w:ilvl="6" w:tentative="0">
      <w:start w:val="1"/>
      <w:numFmt w:val="decimal"/>
      <w:lvlText w:val="%7."/>
      <w:lvlJc w:val="left"/>
      <w:pPr>
        <w:tabs>
          <w:tab w:val="left" w:pos="3380"/>
        </w:tabs>
        <w:ind w:left="3380" w:hanging="420"/>
      </w:pPr>
    </w:lvl>
    <w:lvl w:ilvl="7" w:tentative="0">
      <w:start w:val="1"/>
      <w:numFmt w:val="lowerLetter"/>
      <w:lvlText w:val="%8)"/>
      <w:lvlJc w:val="left"/>
      <w:pPr>
        <w:tabs>
          <w:tab w:val="left" w:pos="3800"/>
        </w:tabs>
        <w:ind w:left="3800" w:hanging="420"/>
      </w:pPr>
    </w:lvl>
    <w:lvl w:ilvl="8" w:tentative="0">
      <w:start w:val="1"/>
      <w:numFmt w:val="lowerRoman"/>
      <w:lvlText w:val="%9."/>
      <w:lvlJc w:val="right"/>
      <w:pPr>
        <w:tabs>
          <w:tab w:val="left" w:pos="4220"/>
        </w:tabs>
        <w:ind w:left="4220" w:hanging="420"/>
      </w:pPr>
    </w:lvl>
  </w:abstractNum>
  <w:abstractNum w:abstractNumId="1">
    <w:nsid w:val="60403613"/>
    <w:multiLevelType w:val="singleLevel"/>
    <w:tmpl w:val="60403613"/>
    <w:lvl w:ilvl="0" w:tentative="0">
      <w:start w:val="7"/>
      <w:numFmt w:val="decimal"/>
      <w:suff w:val="nothing"/>
      <w:lvlText w:val="%1."/>
      <w:lvlJc w:val="left"/>
    </w:lvl>
  </w:abstractNum>
  <w:abstractNum w:abstractNumId="2">
    <w:nsid w:val="7C350055"/>
    <w:multiLevelType w:val="singleLevel"/>
    <w:tmpl w:val="7C350055"/>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01855"/>
    <w:rsid w:val="178542C3"/>
    <w:rsid w:val="2B106B4B"/>
    <w:rsid w:val="3158194F"/>
    <w:rsid w:val="7FF0185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2021-03-03T00:12:00Z</dcterms:created>
  <dc:creator>user</dc:creator>
  <cp:lastModifiedBy>user</cp:lastModifiedBy>
  <dcterms:modified xsi:type="dcterms:W3CDTF">2021-04-01T06:53:49Z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